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61" w:tblpY="2841"/>
        <w:tblOverlap w:val="never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250"/>
        <w:gridCol w:w="937"/>
        <w:gridCol w:w="3606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保险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pacing w:val="-20"/>
                <w:kern w:val="0"/>
                <w:sz w:val="28"/>
                <w:szCs w:val="28"/>
              </w:rPr>
              <w:t>保险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pacing w:val="-20"/>
                <w:kern w:val="0"/>
                <w:sz w:val="28"/>
                <w:szCs w:val="28"/>
              </w:rPr>
              <w:t>金额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保险责任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疾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住院医疗保险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0000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因疾病导致的住院费用，依照条款《住院医疗费用给付比例表》进行给付，最高给付住院医疗保险金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不限疾病种类，因疾病导致的住院费用进行给付，最高给付住院医疗保险金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疾病身故保险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0000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保险生效日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日内因疾病身故，返还已交保费；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保险生效日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日后因疾病身故，给付保险金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不限疾病种类，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参保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日后因疾病身故，给付保险金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意外身故及残疾保险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0000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意外身故保险金给付：因意外导致身故，给付保险金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意外残疾保险金给付：因意外导致身体残疾，根据残疾程度按保险条款最高给付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意外伤害事故，指遭受外来的、突发的、非本意的、非疾病的使身体受到伤害的客观事件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不限意外种类，因意外导致身故，给付保险金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意外伤害医疗保险（含门诊）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因意外事故导致的门诊或住院的医疗费用，扣除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元的免赔，按照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的赔付比例进行赔付，最高给付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二千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元保险金。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不限意外种类，因意外事故导致的门诊或住院的医疗费用进行给付，最高给付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二千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元保险金。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意外伤害住院津贴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天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因意外住院，按照实际住院天数乘以每日补贴额，给付意外住院每日补贴保险金，每年最高按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180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天给付。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不限意外种类，因意外事故导致住院的，额外给付意外住院津贴。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公共交通</w:t>
            </w:r>
          </w:p>
          <w:p>
            <w:pPr>
              <w:spacing w:line="36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意外伤害保险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00000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乘坐具有营运资质飞机、火车、轮船发生意外导致身故，最高给付保险金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十万元。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因乘坐具有营运资质的飞机、火车、轮船发生意外导致身故，除了给付意外身故保险金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万元外，再给付公共交通意外伤害保险金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十万元。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line="3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理赔方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案</w:t>
      </w:r>
    </w:p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3FEE"/>
    <w:rsid w:val="415B44A2"/>
    <w:rsid w:val="5E1B3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2017-08-30T05:15:00Z</dcterms:created>
  <dc:creator>Administrator</dc:creator>
  <cp:lastModifiedBy>Administrator</cp:lastModifiedBy>
  <dcterms:modified xsi:type="dcterms:W3CDTF">2018-09-02T12:58:43Z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