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Times New Roman" w:eastAsia="宋体" w:cs="Times New Roman"/>
          <w:bCs/>
          <w:sz w:val="32"/>
          <w:szCs w:val="32"/>
        </w:rPr>
      </w:pPr>
      <w:r>
        <w:rPr>
          <w:rFonts w:hint="eastAsia" w:ascii="宋体" w:hAnsi="宋体" w:eastAsia="宋体" w:cs="Times New Roman"/>
          <w:bCs/>
          <w:sz w:val="32"/>
          <w:szCs w:val="32"/>
        </w:rPr>
        <w:t>附件</w:t>
      </w:r>
      <w:r>
        <w:rPr>
          <w:rFonts w:hint="eastAsia" w:ascii="宋体" w:hAnsi="宋体" w:eastAsia="宋体" w:cs="Times New Roman"/>
          <w:bCs/>
          <w:sz w:val="32"/>
          <w:szCs w:val="32"/>
          <w:lang w:val="en-US" w:eastAsia="zh-CN"/>
        </w:rPr>
        <w:t>3</w:t>
      </w:r>
      <w:r>
        <w:rPr>
          <w:rFonts w:hint="eastAsia" w:ascii="宋体" w:hAnsi="宋体" w:eastAsia="宋体" w:cs="Times New Roman"/>
          <w:bCs/>
          <w:sz w:val="32"/>
          <w:szCs w:val="32"/>
        </w:rPr>
        <w:t>：</w:t>
      </w:r>
    </w:p>
    <w:p>
      <w:pPr>
        <w:spacing w:line="460" w:lineRule="exact"/>
        <w:jc w:val="center"/>
        <w:rPr>
          <w:rFonts w:ascii="宋体" w:hAnsi="Times New Roman" w:eastAsia="宋体" w:cs="宋体"/>
          <w:b/>
          <w:sz w:val="44"/>
          <w:szCs w:val="44"/>
        </w:rPr>
      </w:pPr>
      <w:r>
        <w:rPr>
          <w:rFonts w:hint="eastAsia" w:ascii="宋体" w:hAnsi="宋体" w:eastAsia="宋体" w:cs="宋体"/>
          <w:b/>
          <w:sz w:val="44"/>
          <w:szCs w:val="44"/>
        </w:rPr>
        <w:t>理赔流程简图</w:t>
      </w:r>
    </w:p>
    <w:p>
      <w:r>
        <w:rPr>
          <w:rFonts w:ascii="Times New Roman" w:hAnsi="Times New Roman" w:eastAsia="宋体" w:cs="Times New Roman"/>
          <w:szCs w:val="21"/>
        </w:rPr>
        <w:drawing>
          <wp:anchor distT="0" distB="0" distL="114300" distR="114300" simplePos="0" relativeHeight="251659264" behindDoc="1" locked="0" layoutInCell="1" allowOverlap="1">
            <wp:simplePos x="0" y="0"/>
            <wp:positionH relativeFrom="column">
              <wp:posOffset>-107950</wp:posOffset>
            </wp:positionH>
            <wp:positionV relativeFrom="paragraph">
              <wp:posOffset>114300</wp:posOffset>
            </wp:positionV>
            <wp:extent cx="5203190" cy="6073775"/>
            <wp:effectExtent l="0" t="0" r="16510" b="60325"/>
            <wp:wrapTight wrapText="bothSides">
              <wp:wrapPolygon>
                <wp:start x="0" y="0"/>
                <wp:lineTo x="0" y="21544"/>
                <wp:lineTo x="21510" y="21544"/>
                <wp:lineTo x="2151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03190" cy="6073775"/>
                    </a:xfrm>
                    <a:prstGeom prst="rect">
                      <a:avLst/>
                    </a:prstGeom>
                    <a:noFill/>
                  </pic:spPr>
                </pic:pic>
              </a:graphicData>
            </a:graphic>
          </wp:anchor>
        </w:drawing>
      </w:r>
    </w:p>
    <w:p>
      <w:pPr>
        <w:spacing w:line="320" w:lineRule="exact"/>
        <w:jc w:val="left"/>
        <w:rPr>
          <w:rFonts w:ascii="仿宋_GB2312" w:hAnsi="宋体" w:eastAsia="仿宋_GB2312" w:cs="宋体"/>
          <w:b/>
          <w:sz w:val="24"/>
          <w:szCs w:val="24"/>
        </w:rPr>
      </w:pPr>
      <w:r>
        <w:rPr>
          <w:rFonts w:hint="eastAsia" w:ascii="仿宋_GB2312" w:hAnsi="宋体" w:eastAsia="仿宋_GB2312" w:cs="宋体"/>
          <w:b/>
          <w:sz w:val="24"/>
          <w:szCs w:val="24"/>
        </w:rPr>
        <w:t>说明：</w:t>
      </w:r>
    </w:p>
    <w:p>
      <w:pPr>
        <w:spacing w:line="32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申请人应先向大学生城镇居民医疗保险或者新型农村合作医疗申请赔偿，并留存所有赔付资料，然后再向保险公司申请理赔。</w:t>
      </w:r>
    </w:p>
    <w:p>
      <w:pPr>
        <w:spacing w:line="32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lang w:val="en-US" w:eastAsia="zh-CN"/>
        </w:rPr>
        <w:t>2.</w:t>
      </w:r>
      <w:r>
        <w:rPr>
          <w:rFonts w:hint="eastAsia" w:ascii="仿宋_GB2312" w:hAnsi="宋体" w:eastAsia="仿宋_GB2312" w:cs="宋体"/>
          <w:sz w:val="24"/>
          <w:szCs w:val="24"/>
        </w:rPr>
        <w:t>这种“先医保，后商保”的方式，可以让学生赔偿利益最大化。若先向保险公司申请理赔，则理赔后无法再通过医保进行赔付，学生的利益则会受损。</w:t>
      </w:r>
    </w:p>
    <w:p>
      <w:pPr>
        <w:spacing w:line="320" w:lineRule="exact"/>
        <w:ind w:firstLine="480" w:firstLineChars="200"/>
        <w:jc w:val="left"/>
        <w:rPr>
          <w:sz w:val="24"/>
          <w:szCs w:val="24"/>
        </w:rPr>
      </w:pPr>
      <w:r>
        <w:rPr>
          <w:rFonts w:hint="eastAsia" w:ascii="仿宋_GB2312" w:hAnsi="宋体" w:eastAsia="仿宋_GB2312" w:cs="宋体"/>
          <w:b w:val="0"/>
          <w:bCs/>
          <w:sz w:val="24"/>
          <w:szCs w:val="24"/>
          <w:lang w:val="en-US" w:eastAsia="zh-CN"/>
        </w:rPr>
        <w:t>3.</w:t>
      </w:r>
      <w:r>
        <w:rPr>
          <w:rFonts w:hint="eastAsia" w:ascii="仿宋_GB2312" w:hAnsi="宋体" w:eastAsia="仿宋_GB2312" w:cs="宋体"/>
          <w:b w:val="0"/>
          <w:bCs/>
          <w:sz w:val="24"/>
          <w:szCs w:val="24"/>
        </w:rPr>
        <w:t>理赔专线：</w:t>
      </w:r>
      <w:bookmarkStart w:id="0" w:name="_GoBack"/>
      <w:bookmarkEnd w:id="0"/>
      <w:r>
        <w:rPr>
          <w:rFonts w:hint="eastAsia" w:ascii="仿宋_GB2312" w:hAnsi="宋体" w:eastAsia="仿宋_GB2312" w:cs="宋体"/>
          <w:sz w:val="24"/>
          <w:szCs w:val="24"/>
        </w:rPr>
        <w:t>95535/0871-68380925 （电话接听时间：周一至周五上午9:00-12:00,下午14:00-18:00）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6060F"/>
    <w:rsid w:val="3E96060F"/>
    <w:rsid w:val="47ED23C8"/>
    <w:rsid w:val="720B1E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2017-08-30T05:16:00Z</dcterms:created>
  <dc:creator>Administrator</dc:creator>
  <cp:lastModifiedBy>Administrator</cp:lastModifiedBy>
  <dcterms:modified xsi:type="dcterms:W3CDTF">2018-09-02T13:00:28Z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